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F1CC6" w:rsidRDefault="007E791F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Title: Phenomenon or How to Observe Them </w:t>
      </w:r>
    </w:p>
    <w:p w:rsidR="007F1CC6" w:rsidRDefault="007F1CC6">
      <w:pPr>
        <w:rPr>
          <w:sz w:val="20"/>
          <w:szCs w:val="20"/>
        </w:rPr>
      </w:pPr>
    </w:p>
    <w:p w:rsidR="007F1CC6" w:rsidRDefault="007E791F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Time: 70-75 min</w:t>
      </w:r>
    </w:p>
    <w:p w:rsidR="007F1CC6" w:rsidRDefault="007F1CC6">
      <w:pPr>
        <w:widowControl w:val="0"/>
        <w:spacing w:line="240" w:lineRule="auto"/>
        <w:rPr>
          <w:sz w:val="20"/>
          <w:szCs w:val="20"/>
        </w:rPr>
      </w:pPr>
    </w:p>
    <w:p w:rsidR="007F1CC6" w:rsidRDefault="007E791F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Description: Introducing the density bead bottle as the phenomenon and having students make observations.</w:t>
      </w:r>
    </w:p>
    <w:p w:rsidR="007F1CC6" w:rsidRDefault="007F1CC6">
      <w:pPr>
        <w:widowControl w:val="0"/>
        <w:spacing w:line="240" w:lineRule="auto"/>
        <w:rPr>
          <w:sz w:val="20"/>
          <w:szCs w:val="20"/>
        </w:rPr>
      </w:pPr>
    </w:p>
    <w:p w:rsidR="007F1CC6" w:rsidRDefault="007E791F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Objective: Students will be able to identify phenomenon and make quality observations.</w:t>
      </w:r>
    </w:p>
    <w:p w:rsidR="007F1CC6" w:rsidRDefault="007F1CC6">
      <w:pPr>
        <w:widowControl w:val="0"/>
        <w:spacing w:line="240" w:lineRule="auto"/>
      </w:pPr>
    </w:p>
    <w:tbl>
      <w:tblPr>
        <w:tblStyle w:val="a"/>
        <w:tblW w:w="10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3435"/>
        <w:gridCol w:w="3765"/>
      </w:tblGrid>
      <w:tr w:rsidR="007F1CC6" w:rsidTr="007F1CC6">
        <w:trPr>
          <w:trHeight w:val="420"/>
        </w:trPr>
        <w:tc>
          <w:tcPr>
            <w:tcW w:w="1086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C6" w:rsidRDefault="007E791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Standard: No Core Standard but Scientific Approach</w:t>
            </w:r>
          </w:p>
        </w:tc>
      </w:tr>
      <w:tr w:rsidR="007F1CC6" w:rsidTr="007F1CC6"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C6" w:rsidRDefault="007E791F">
            <w:pPr>
              <w:widowControl w:val="0"/>
              <w:spacing w:line="240" w:lineRule="auto"/>
            </w:pPr>
            <w:r>
              <w:t xml:space="preserve">DCI: </w:t>
            </w:r>
            <w:r>
              <w:rPr>
                <w:sz w:val="16"/>
                <w:szCs w:val="16"/>
              </w:rPr>
              <w:t>(Everything in Normal Font in Standard)</w:t>
            </w:r>
          </w:p>
          <w:p w:rsidR="007F1CC6" w:rsidRDefault="007E791F">
            <w:pPr>
              <w:numPr>
                <w:ilvl w:val="0"/>
                <w:numId w:val="2"/>
              </w:numPr>
              <w:ind w:left="840"/>
              <w:contextualSpacing/>
            </w:pPr>
            <w:r>
              <w:rPr>
                <w:sz w:val="18"/>
                <w:szCs w:val="18"/>
              </w:rPr>
              <w:t>Density</w:t>
            </w:r>
          </w:p>
          <w:p w:rsidR="007F1CC6" w:rsidRDefault="007F1CC6"/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C6" w:rsidRDefault="007E791F">
            <w:pPr>
              <w:widowControl w:val="0"/>
              <w:spacing w:line="240" w:lineRule="auto"/>
            </w:pPr>
            <w:r>
              <w:t xml:space="preserve">CCCs: </w:t>
            </w:r>
            <w:r>
              <w:rPr>
                <w:sz w:val="16"/>
                <w:szCs w:val="16"/>
              </w:rPr>
              <w:t>(Underlined in Standard)</w:t>
            </w:r>
            <w:r>
              <w:t xml:space="preserve"> </w:t>
            </w:r>
          </w:p>
          <w:p w:rsidR="007F1CC6" w:rsidRDefault="007E791F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>Patterns</w:t>
            </w:r>
          </w:p>
          <w:p w:rsidR="007F1CC6" w:rsidRDefault="007E791F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>Systems and Systems Model</w:t>
            </w: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C6" w:rsidRDefault="007E791F">
            <w:pPr>
              <w:widowControl w:val="0"/>
              <w:spacing w:line="240" w:lineRule="auto"/>
            </w:pPr>
            <w:r>
              <w:t xml:space="preserve">Practices: </w:t>
            </w:r>
            <w:r>
              <w:rPr>
                <w:sz w:val="16"/>
                <w:szCs w:val="16"/>
              </w:rPr>
              <w:t>(Bold in Standard)</w:t>
            </w:r>
          </w:p>
          <w:p w:rsidR="007F1CC6" w:rsidRDefault="007E791F">
            <w:pPr>
              <w:widowControl w:val="0"/>
              <w:numPr>
                <w:ilvl w:val="0"/>
                <w:numId w:val="3"/>
              </w:numPr>
              <w:ind w:left="840"/>
              <w:contextualSpacing/>
            </w:pPr>
            <w:r>
              <w:t>Phenomena</w:t>
            </w:r>
          </w:p>
        </w:tc>
      </w:tr>
    </w:tbl>
    <w:p w:rsidR="007F1CC6" w:rsidRDefault="007F1CC6"/>
    <w:p w:rsidR="007F1CC6" w:rsidRDefault="007E791F">
      <w:pPr>
        <w:widowControl w:val="0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Whole Standard Phenomena: </w:t>
      </w:r>
    </w:p>
    <w:p w:rsidR="007F1CC6" w:rsidRDefault="007E791F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At the end of the unit, students will conduct a gold panning experiment and applying how density works in the world around them. </w:t>
      </w:r>
    </w:p>
    <w:p w:rsidR="007F1CC6" w:rsidRDefault="007F1CC6">
      <w:pPr>
        <w:rPr>
          <w:sz w:val="20"/>
          <w:szCs w:val="20"/>
        </w:rPr>
      </w:pPr>
    </w:p>
    <w:p w:rsidR="007F1CC6" w:rsidRDefault="007E791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Starter: </w:t>
      </w:r>
    </w:p>
    <w:p w:rsidR="007F1CC6" w:rsidRDefault="007E791F">
      <w:pPr>
        <w:rPr>
          <w:sz w:val="20"/>
          <w:szCs w:val="20"/>
        </w:rPr>
      </w:pPr>
      <w:r>
        <w:rPr>
          <w:sz w:val="20"/>
          <w:szCs w:val="20"/>
        </w:rPr>
        <w:t xml:space="preserve">During the summer, was there </w:t>
      </w:r>
      <w:proofErr w:type="spellStart"/>
      <w:r>
        <w:rPr>
          <w:sz w:val="20"/>
          <w:szCs w:val="20"/>
        </w:rPr>
        <w:t>any thing</w:t>
      </w:r>
      <w:proofErr w:type="spellEnd"/>
      <w:r>
        <w:rPr>
          <w:sz w:val="20"/>
          <w:szCs w:val="20"/>
        </w:rPr>
        <w:t xml:space="preserve"> that sparked your curiosity or made you find out more about it?</w:t>
      </w:r>
    </w:p>
    <w:p w:rsidR="007F1CC6" w:rsidRDefault="007E791F">
      <w:pPr>
        <w:rPr>
          <w:sz w:val="20"/>
          <w:szCs w:val="20"/>
        </w:rPr>
      </w:pPr>
      <w:r>
        <w:rPr>
          <w:sz w:val="20"/>
          <w:szCs w:val="20"/>
        </w:rPr>
        <w:t>Whole Standa</w:t>
      </w:r>
      <w:r>
        <w:rPr>
          <w:sz w:val="20"/>
          <w:szCs w:val="20"/>
        </w:rPr>
        <w:t xml:space="preserve">rd Phenomenon Introduction: </w:t>
      </w:r>
    </w:p>
    <w:p w:rsidR="007F1CC6" w:rsidRDefault="007E791F">
      <w:pPr>
        <w:rPr>
          <w:sz w:val="20"/>
          <w:szCs w:val="20"/>
        </w:rPr>
      </w:pPr>
      <w:r>
        <w:rPr>
          <w:sz w:val="20"/>
          <w:szCs w:val="20"/>
        </w:rPr>
        <w:t>Ask the students the following question - Have you ever come across a smooth pond like the one below? It just seems to ask you to "skip a rock on the surface!" You know that when the rock stops skipping, it will sink beneath th</w:t>
      </w:r>
      <w:r>
        <w:rPr>
          <w:sz w:val="20"/>
          <w:szCs w:val="20"/>
        </w:rPr>
        <w:t>e surface. What makes rocks sink while leaves or twigs float in water?  There is a Google Slide with image and question put together (</w:t>
      </w:r>
      <w:hyperlink r:id="rId5" w:anchor="slide=id.p9">
        <w:r>
          <w:rPr>
            <w:color w:val="1155CC"/>
            <w:sz w:val="20"/>
            <w:szCs w:val="20"/>
            <w:u w:val="single"/>
          </w:rPr>
          <w:t>Click here</w:t>
        </w:r>
      </w:hyperlink>
      <w:r>
        <w:rPr>
          <w:sz w:val="20"/>
          <w:szCs w:val="20"/>
        </w:rPr>
        <w:t>)</w:t>
      </w:r>
    </w:p>
    <w:p w:rsidR="007F1CC6" w:rsidRDefault="007F1CC6"/>
    <w:p w:rsidR="007F1CC6" w:rsidRDefault="007E791F">
      <w:r>
        <w:t xml:space="preserve">Tell the students the following story: </w:t>
      </w:r>
    </w:p>
    <w:p w:rsidR="007F1CC6" w:rsidRDefault="007E791F">
      <w:pPr>
        <w:rPr>
          <w:color w:val="141412"/>
          <w:sz w:val="20"/>
          <w:szCs w:val="20"/>
        </w:rPr>
      </w:pPr>
      <w:r>
        <w:rPr>
          <w:sz w:val="20"/>
          <w:szCs w:val="20"/>
        </w:rPr>
        <w:t xml:space="preserve">James W. Marshall was walking along the river bank at Sutter’s Mill on January 24, 1848. </w:t>
      </w:r>
      <w:r>
        <w:rPr>
          <w:color w:val="141412"/>
          <w:sz w:val="20"/>
          <w:szCs w:val="20"/>
        </w:rPr>
        <w:t xml:space="preserve">He was wondering what treasures lay hidden beneath the water surface? He bent over with a pan and begin to sift through the dirt. The treasure he found was gold. Over the next several years, hundreds of thousands of prospectors traveled westward hoping to </w:t>
      </w:r>
      <w:r>
        <w:rPr>
          <w:color w:val="141412"/>
          <w:sz w:val="20"/>
          <w:szCs w:val="20"/>
        </w:rPr>
        <w:t>make their fortunes mining gold.</w:t>
      </w:r>
    </w:p>
    <w:p w:rsidR="007F1CC6" w:rsidRDefault="007F1CC6">
      <w:pPr>
        <w:rPr>
          <w:color w:val="141412"/>
          <w:sz w:val="24"/>
          <w:szCs w:val="24"/>
        </w:rPr>
      </w:pPr>
    </w:p>
    <w:p w:rsidR="007F1CC6" w:rsidRDefault="007F1CC6"/>
    <w:p w:rsidR="007F1CC6" w:rsidRDefault="007E791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Supporting Phenomena: </w:t>
      </w:r>
    </w:p>
    <w:p w:rsidR="007F1CC6" w:rsidRDefault="007E791F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Students will be shown a Density Bead Bottle and offered a reward to try to move the bead from the top to the bottom and make it stay. </w:t>
      </w:r>
      <w:r>
        <w:rPr>
          <w:i/>
          <w:sz w:val="20"/>
          <w:szCs w:val="20"/>
        </w:rPr>
        <w:t>Teacher will explain how to fill out the CER “Phenomenon, CCCs, and Wonderings about Phenomenon” sections.</w:t>
      </w:r>
    </w:p>
    <w:p w:rsidR="007F1CC6" w:rsidRDefault="007F1CC6">
      <w:pPr>
        <w:rPr>
          <w:sz w:val="20"/>
          <w:szCs w:val="20"/>
        </w:rPr>
      </w:pPr>
    </w:p>
    <w:p w:rsidR="007F1CC6" w:rsidRDefault="007E791F">
      <w:pPr>
        <w:rPr>
          <w:sz w:val="20"/>
          <w:szCs w:val="20"/>
        </w:rPr>
      </w:pPr>
      <w:r>
        <w:rPr>
          <w:b/>
          <w:sz w:val="20"/>
          <w:szCs w:val="20"/>
        </w:rPr>
        <w:t>Anticipated Questions from students</w:t>
      </w:r>
    </w:p>
    <w:p w:rsidR="007F1CC6" w:rsidRDefault="007E791F">
      <w:pPr>
        <w:widowControl w:val="0"/>
        <w:numPr>
          <w:ilvl w:val="0"/>
          <w:numId w:val="5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Why are the beads floating?</w:t>
      </w:r>
    </w:p>
    <w:p w:rsidR="007F1CC6" w:rsidRDefault="007E791F">
      <w:pPr>
        <w:widowControl w:val="0"/>
        <w:numPr>
          <w:ilvl w:val="0"/>
          <w:numId w:val="5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What are the beads </w:t>
      </w:r>
      <w:proofErr w:type="gramStart"/>
      <w:r>
        <w:rPr>
          <w:sz w:val="20"/>
          <w:szCs w:val="20"/>
        </w:rPr>
        <w:t>made out of</w:t>
      </w:r>
      <w:proofErr w:type="gramEnd"/>
      <w:r>
        <w:rPr>
          <w:sz w:val="20"/>
          <w:szCs w:val="20"/>
        </w:rPr>
        <w:t>?</w:t>
      </w:r>
    </w:p>
    <w:p w:rsidR="007F1CC6" w:rsidRDefault="007E791F">
      <w:pPr>
        <w:widowControl w:val="0"/>
        <w:numPr>
          <w:ilvl w:val="0"/>
          <w:numId w:val="5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What liquid is it?</w:t>
      </w:r>
    </w:p>
    <w:p w:rsidR="007F1CC6" w:rsidRDefault="007F1CC6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4515"/>
        <w:gridCol w:w="4605"/>
      </w:tblGrid>
      <w:tr w:rsidR="007F1CC6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C6" w:rsidRDefault="007F1CC6">
            <w:pPr>
              <w:widowControl w:val="0"/>
              <w:spacing w:line="240" w:lineRule="auto"/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C6" w:rsidRDefault="007E791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Student Does: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C6" w:rsidRDefault="007E791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Teacher Does:</w:t>
            </w:r>
          </w:p>
        </w:tc>
      </w:tr>
      <w:tr w:rsidR="007F1CC6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C6" w:rsidRDefault="007E791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Gather</w:t>
            </w:r>
          </w:p>
          <w:p w:rsidR="007F1CC6" w:rsidRDefault="007F1CC6">
            <w:pPr>
              <w:widowControl w:val="0"/>
              <w:spacing w:line="240" w:lineRule="auto"/>
              <w:rPr>
                <w:b/>
              </w:rPr>
            </w:pPr>
          </w:p>
          <w:p w:rsidR="007F1CC6" w:rsidRDefault="007F1CC6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C6" w:rsidRDefault="007E791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the CER handout students will make observations as they conduct investigations on the bottles. They can manipulate the bottles however they want except for opening the bottle. (super-glue the cap). </w:t>
            </w:r>
            <w:proofErr w:type="spellStart"/>
            <w:r>
              <w:rPr>
                <w:sz w:val="20"/>
                <w:szCs w:val="20"/>
              </w:rPr>
              <w:t>FIll</w:t>
            </w:r>
            <w:proofErr w:type="spellEnd"/>
            <w:r>
              <w:rPr>
                <w:sz w:val="20"/>
                <w:szCs w:val="20"/>
              </w:rPr>
              <w:t xml:space="preserve"> out the “Evidence for data and observa</w:t>
            </w:r>
            <w:r>
              <w:rPr>
                <w:sz w:val="20"/>
                <w:szCs w:val="20"/>
              </w:rPr>
              <w:t>tions” section in the CER.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C6" w:rsidRDefault="007E791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be divided into 8 groups and assigned a lab station to work at. At </w:t>
            </w:r>
            <w:proofErr w:type="gramStart"/>
            <w:r>
              <w:rPr>
                <w:sz w:val="20"/>
                <w:szCs w:val="20"/>
              </w:rPr>
              <w:t>station</w:t>
            </w:r>
            <w:proofErr w:type="gramEnd"/>
            <w:r>
              <w:rPr>
                <w:sz w:val="20"/>
                <w:szCs w:val="20"/>
              </w:rPr>
              <w:t xml:space="preserve"> they will have their own bead bottle to work with. Monitor and guide students as necessary (walk around and interact with students)</w:t>
            </w:r>
          </w:p>
          <w:p w:rsidR="007F1CC6" w:rsidRDefault="007F1CC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F1CC6" w:rsidRDefault="007E791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</w:t>
            </w:r>
            <w:r>
              <w:rPr>
                <w:sz w:val="20"/>
                <w:szCs w:val="20"/>
              </w:rPr>
              <w:t xml:space="preserve"> how to fill out the CER “Evidence for data and observations” section.</w:t>
            </w:r>
          </w:p>
        </w:tc>
      </w:tr>
      <w:tr w:rsidR="007F1CC6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C6" w:rsidRDefault="007E791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Reason</w:t>
            </w:r>
          </w:p>
          <w:p w:rsidR="007F1CC6" w:rsidRDefault="007F1CC6">
            <w:pPr>
              <w:widowControl w:val="0"/>
              <w:spacing w:line="240" w:lineRule="auto"/>
              <w:rPr>
                <w:b/>
              </w:rPr>
            </w:pPr>
          </w:p>
          <w:p w:rsidR="007F1CC6" w:rsidRDefault="007F1CC6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C6" w:rsidRDefault="007E791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Individually</w:t>
            </w:r>
            <w:r>
              <w:rPr>
                <w:sz w:val="20"/>
                <w:szCs w:val="20"/>
              </w:rPr>
              <w:t xml:space="preserve"> explain the observations you made during your experimentation with the bottle in your CER. You can consult with you group members.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C6" w:rsidRDefault="007E7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to fill out the Re</w:t>
            </w:r>
            <w:r>
              <w:rPr>
                <w:sz w:val="20"/>
                <w:szCs w:val="20"/>
              </w:rPr>
              <w:t>asoning/Justification section of the CER.</w:t>
            </w:r>
          </w:p>
          <w:p w:rsidR="007F1CC6" w:rsidRDefault="007E7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 around and monitor.</w:t>
            </w:r>
          </w:p>
        </w:tc>
      </w:tr>
      <w:tr w:rsidR="007F1CC6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C6" w:rsidRDefault="007E791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Communicate</w:t>
            </w:r>
          </w:p>
          <w:p w:rsidR="007F1CC6" w:rsidRDefault="007F1CC6">
            <w:pPr>
              <w:widowControl w:val="0"/>
              <w:spacing w:line="240" w:lineRule="auto"/>
              <w:rPr>
                <w:b/>
              </w:rPr>
            </w:pPr>
          </w:p>
          <w:p w:rsidR="007F1CC6" w:rsidRDefault="007F1CC6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C6" w:rsidRDefault="007E791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Switch groups per teacher instructions and discuss your observations and reasoning with your new group. Then go back to your initial group and discuss any new information learned.</w:t>
            </w:r>
          </w:p>
          <w:p w:rsidR="007F1CC6" w:rsidRDefault="007F1CC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F1CC6" w:rsidRDefault="007E791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CER, complete the “Claim” and “Explanation” sections as a group.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C6" w:rsidRDefault="007E7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</w:t>
            </w:r>
            <w:r>
              <w:rPr>
                <w:sz w:val="20"/>
                <w:szCs w:val="20"/>
              </w:rPr>
              <w:t>truct students to switch groups (teacher discretion). Explain/model how to appropriately share their findings with each other. Walk around and monitor discussions.</w:t>
            </w:r>
          </w:p>
          <w:p w:rsidR="007F1CC6" w:rsidRDefault="007E7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to fill out the “Claim” and “Explanation” section in their CER. Students will wo</w:t>
            </w:r>
            <w:r>
              <w:rPr>
                <w:sz w:val="20"/>
                <w:szCs w:val="20"/>
              </w:rPr>
              <w:t>rk as a group to fill out these sections.</w:t>
            </w:r>
          </w:p>
          <w:p w:rsidR="007F1CC6" w:rsidRDefault="007F1CC6">
            <w:pPr>
              <w:rPr>
                <w:sz w:val="20"/>
                <w:szCs w:val="20"/>
              </w:rPr>
            </w:pPr>
          </w:p>
          <w:p w:rsidR="007F1CC6" w:rsidRDefault="007E7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Here is the definition for Phenomena: </w:t>
            </w:r>
          </w:p>
          <w:p w:rsidR="007F1CC6" w:rsidRDefault="007E791F">
            <w:pPr>
              <w:rPr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  <w:highlight w:val="white"/>
              </w:rPr>
              <w:t>Phenomena</w:t>
            </w:r>
            <w:r>
              <w:rPr>
                <w:color w:val="222222"/>
                <w:sz w:val="20"/>
                <w:szCs w:val="20"/>
                <w:highlight w:val="white"/>
              </w:rPr>
              <w:t xml:space="preserve"> are observable events in nature (or our lives). A fact or situation that is observed to exist or happen. Unknown causes to us. </w:t>
            </w:r>
          </w:p>
        </w:tc>
      </w:tr>
    </w:tbl>
    <w:p w:rsidR="007F1CC6" w:rsidRDefault="007F1CC6"/>
    <w:p w:rsidR="007F1CC6" w:rsidRDefault="007F1CC6"/>
    <w:tbl>
      <w:tblPr>
        <w:tblStyle w:val="a1"/>
        <w:tblW w:w="10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95"/>
        <w:gridCol w:w="5265"/>
      </w:tblGrid>
      <w:tr w:rsidR="007F1CC6" w:rsidTr="007F1CC6">
        <w:trPr>
          <w:trHeight w:val="2480"/>
        </w:trPr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C6" w:rsidRDefault="007E791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Formative Assessment:  </w:t>
            </w:r>
          </w:p>
          <w:p w:rsidR="007F1CC6" w:rsidRDefault="007E791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your CER, answer the question on your own, </w:t>
            </w:r>
            <w:proofErr w:type="gramStart"/>
            <w:r>
              <w:rPr>
                <w:sz w:val="20"/>
                <w:szCs w:val="20"/>
              </w:rPr>
              <w:t>What</w:t>
            </w:r>
            <w:proofErr w:type="gramEnd"/>
            <w:r>
              <w:rPr>
                <w:sz w:val="20"/>
                <w:szCs w:val="20"/>
              </w:rPr>
              <w:t xml:space="preserve"> is your definition for phenomenon?</w:t>
            </w:r>
          </w:p>
          <w:p w:rsidR="007F1CC6" w:rsidRDefault="007F1CC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F1CC6" w:rsidRDefault="007E791F">
            <w:pPr>
              <w:widowControl w:val="0"/>
              <w:spacing w:line="240" w:lineRule="auto"/>
            </w:pPr>
            <w:r>
              <w:t>Exit Ticket: Discuss your answer with your table and write your table’s definition for phenomena on the paper provided by your teacher.</w:t>
            </w:r>
          </w:p>
          <w:p w:rsidR="007F1CC6" w:rsidRDefault="007F1CC6">
            <w:pPr>
              <w:widowControl w:val="0"/>
              <w:spacing w:line="240" w:lineRule="auto"/>
            </w:pPr>
          </w:p>
          <w:p w:rsidR="007F1CC6" w:rsidRDefault="007E791F">
            <w:pPr>
              <w:widowControl w:val="0"/>
              <w:spacing w:line="240" w:lineRule="auto"/>
            </w:pPr>
            <w:r>
              <w:t xml:space="preserve">(for teacher: Provide a blank piece of paper where each group throughout the </w:t>
            </w:r>
            <w:proofErr w:type="spellStart"/>
            <w:r>
              <w:t>the</w:t>
            </w:r>
            <w:proofErr w:type="spellEnd"/>
            <w:r>
              <w:t xml:space="preserve"> day will write down their own table definition for phenomenon. Keep the same sheet of paper for each table.)</w:t>
            </w:r>
          </w:p>
        </w:tc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C6" w:rsidRDefault="007E791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Materials, resources, handouts, </w:t>
            </w:r>
            <w:proofErr w:type="spellStart"/>
            <w:r>
              <w:rPr>
                <w:b/>
                <w:sz w:val="20"/>
                <w:szCs w:val="20"/>
              </w:rPr>
              <w:t>etc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7F1CC6" w:rsidRDefault="007E791F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 handout </w:t>
            </w:r>
          </w:p>
          <w:p w:rsidR="007F1CC6" w:rsidRDefault="007E791F">
            <w:pPr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</w:rPr>
              <w:t xml:space="preserve">20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oz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bottle (su</w:t>
            </w:r>
            <w:r>
              <w:rPr>
                <w:rFonts w:ascii="Helvetica Neue" w:eastAsia="Helvetica Neue" w:hAnsi="Helvetica Neue" w:cs="Helvetica Neue"/>
              </w:rPr>
              <w:t xml:space="preserve">ch as a Smart Water bottle) </w:t>
            </w:r>
            <w:r>
              <w:rPr>
                <w:noProof/>
              </w:rPr>
              <w:drawing>
                <wp:anchor distT="57150" distB="57150" distL="57150" distR="57150" simplePos="0" relativeHeight="251658240" behindDoc="0" locked="0" layoutInCell="1" hidden="0" allowOverlap="1">
                  <wp:simplePos x="0" y="0"/>
                  <wp:positionH relativeFrom="margin">
                    <wp:posOffset>5001895</wp:posOffset>
                  </wp:positionH>
                  <wp:positionV relativeFrom="paragraph">
                    <wp:posOffset>12065</wp:posOffset>
                  </wp:positionV>
                  <wp:extent cx="1016000" cy="1806575"/>
                  <wp:effectExtent l="395287" t="-395287" r="395287" b="-395287"/>
                  <wp:wrapSquare wrapText="bothSides" distT="57150" distB="57150" distL="57150" distR="57150"/>
                  <wp:docPr id="4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16000" cy="1806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F1CC6" w:rsidRDefault="007E791F">
            <w:pPr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</w:rPr>
              <w:t>1 cups (300 mL) 91% Isopropyl (Rubbing) Alcohol</w:t>
            </w:r>
          </w:p>
          <w:p w:rsidR="007F1CC6" w:rsidRDefault="007E791F">
            <w:pPr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</w:rPr>
              <w:t>1 cup (240 mL) Distilled Water</w:t>
            </w:r>
          </w:p>
          <w:p w:rsidR="007F1CC6" w:rsidRDefault="007E791F">
            <w:pPr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</w:rPr>
              <w:t>2.5 Tablespoons (45 g) Salt (Pickling and canning salt works well because it does not have extra additives.)</w:t>
            </w:r>
          </w:p>
          <w:p w:rsidR="007F1CC6" w:rsidRDefault="007E791F">
            <w:pPr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</w:rPr>
              <w:t>100 Pony Beads or 16.0 grams Craft Sto</w:t>
            </w:r>
            <w:r>
              <w:rPr>
                <w:rFonts w:ascii="Helvetica Neue" w:eastAsia="Helvetica Neue" w:hAnsi="Helvetica Neue" w:cs="Helvetica Neue"/>
              </w:rPr>
              <w:t>res</w:t>
            </w:r>
          </w:p>
          <w:p w:rsidR="007F1CC6" w:rsidRDefault="007E791F">
            <w:pPr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</w:rPr>
              <w:t xml:space="preserve">100 Polypropylene Beads or 16.5 grams (UV sensitive beads work well.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Perler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Beads also work, but are a different shape than the pony beads.) Amazon</w:t>
            </w:r>
          </w:p>
        </w:tc>
      </w:tr>
    </w:tbl>
    <w:p w:rsidR="007F1CC6" w:rsidRDefault="007F1CC6"/>
    <w:p w:rsidR="007F1CC6" w:rsidRDefault="007F1CC6"/>
    <w:p w:rsidR="007F1CC6" w:rsidRDefault="007F1CC6"/>
    <w:p w:rsidR="007F1CC6" w:rsidRDefault="007F1CC6"/>
    <w:p w:rsidR="007F1CC6" w:rsidRDefault="007F1CC6"/>
    <w:p w:rsidR="007F1CC6" w:rsidRDefault="007F1CC6"/>
    <w:p w:rsidR="007F1CC6" w:rsidRDefault="007F1CC6"/>
    <w:p w:rsidR="007F1CC6" w:rsidRDefault="007F1CC6"/>
    <w:p w:rsidR="007F1CC6" w:rsidRDefault="007F1CC6"/>
    <w:p w:rsidR="007F1CC6" w:rsidRDefault="007F1CC6"/>
    <w:p w:rsidR="007F1CC6" w:rsidRDefault="007F1CC6"/>
    <w:p w:rsidR="007F1CC6" w:rsidRDefault="007F1CC6"/>
    <w:p w:rsidR="007F1CC6" w:rsidRDefault="007F1CC6"/>
    <w:p w:rsidR="007F1CC6" w:rsidRDefault="007F1CC6"/>
    <w:p w:rsidR="007F1CC6" w:rsidRDefault="007F1CC6"/>
    <w:tbl>
      <w:tblPr>
        <w:tblStyle w:val="a2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7F1CC6">
        <w:trPr>
          <w:trHeight w:val="420"/>
        </w:trPr>
        <w:tc>
          <w:tcPr>
            <w:tcW w:w="1080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C6" w:rsidRDefault="007E791F">
            <w:pPr>
              <w:widowControl w:val="0"/>
              <w:spacing w:line="240" w:lineRule="auto"/>
            </w:pPr>
            <w:r>
              <w:lastRenderedPageBreak/>
              <w:t>Phenomenon:</w:t>
            </w:r>
          </w:p>
        </w:tc>
      </w:tr>
      <w:tr w:rsidR="007F1CC6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C6" w:rsidRDefault="007E791F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63405" cy="319088"/>
                  <wp:effectExtent l="0" t="0" r="0" b="0"/>
                  <wp:docPr id="3" name="image5.png" descr="Screen Shot 2017-06-02 at 10.45.02 A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Screen Shot 2017-06-02 at 10.45.02 AM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405" cy="319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CC6">
        <w:trPr>
          <w:trHeight w:val="420"/>
        </w:trPr>
        <w:tc>
          <w:tcPr>
            <w:tcW w:w="108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C6" w:rsidRDefault="007E791F">
            <w:pPr>
              <w:widowControl w:val="0"/>
              <w:spacing w:line="240" w:lineRule="auto"/>
            </w:pPr>
            <w:r>
              <w:t xml:space="preserve">CCCs: </w:t>
            </w:r>
          </w:p>
        </w:tc>
      </w:tr>
      <w:tr w:rsidR="007F1CC6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C6" w:rsidRDefault="007E791F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85763" cy="196663"/>
                  <wp:effectExtent l="0" t="0" r="0" b="0"/>
                  <wp:docPr id="1" name="image3.png" descr="Screen Shot 2017-06-02 at 7.39.33 A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Screen Shot 2017-06-02 at 7.39.33 AM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63" cy="1966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CC6">
        <w:trPr>
          <w:trHeight w:val="420"/>
        </w:trPr>
        <w:tc>
          <w:tcPr>
            <w:tcW w:w="1080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C6" w:rsidRDefault="007E791F">
            <w:pPr>
              <w:widowControl w:val="0"/>
              <w:spacing w:line="240" w:lineRule="auto"/>
            </w:pPr>
            <w:r>
              <w:t>Wonderings about phenomenon:</w:t>
            </w:r>
          </w:p>
        </w:tc>
      </w:tr>
      <w:tr w:rsidR="007F1CC6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C6" w:rsidRDefault="007F1CC6">
            <w:pPr>
              <w:widowControl w:val="0"/>
              <w:spacing w:line="240" w:lineRule="auto"/>
            </w:pPr>
          </w:p>
          <w:p w:rsidR="007F1CC6" w:rsidRDefault="007F1CC6">
            <w:pPr>
              <w:widowControl w:val="0"/>
              <w:spacing w:line="240" w:lineRule="auto"/>
            </w:pPr>
          </w:p>
          <w:p w:rsidR="007F1CC6" w:rsidRDefault="007F1CC6">
            <w:pPr>
              <w:widowControl w:val="0"/>
              <w:spacing w:line="240" w:lineRule="auto"/>
            </w:pPr>
          </w:p>
          <w:p w:rsidR="007F1CC6" w:rsidRDefault="007F1CC6">
            <w:pPr>
              <w:widowControl w:val="0"/>
              <w:spacing w:line="240" w:lineRule="auto"/>
            </w:pPr>
          </w:p>
          <w:p w:rsidR="007F1CC6" w:rsidRDefault="007F1CC6">
            <w:pPr>
              <w:widowControl w:val="0"/>
              <w:spacing w:line="240" w:lineRule="auto"/>
            </w:pPr>
          </w:p>
          <w:p w:rsidR="007F1CC6" w:rsidRDefault="007F1CC6">
            <w:pPr>
              <w:widowControl w:val="0"/>
              <w:spacing w:line="240" w:lineRule="auto"/>
            </w:pPr>
          </w:p>
          <w:p w:rsidR="007F1CC6" w:rsidRDefault="007F1CC6">
            <w:pPr>
              <w:widowControl w:val="0"/>
              <w:spacing w:line="240" w:lineRule="auto"/>
            </w:pPr>
          </w:p>
          <w:p w:rsidR="007F1CC6" w:rsidRDefault="007F1CC6">
            <w:pPr>
              <w:widowControl w:val="0"/>
              <w:spacing w:line="240" w:lineRule="auto"/>
            </w:pPr>
          </w:p>
          <w:p w:rsidR="007F1CC6" w:rsidRDefault="007F1CC6">
            <w:pPr>
              <w:widowControl w:val="0"/>
              <w:spacing w:line="240" w:lineRule="auto"/>
            </w:pPr>
          </w:p>
        </w:tc>
      </w:tr>
      <w:tr w:rsidR="007F1CC6">
        <w:tc>
          <w:tcPr>
            <w:tcW w:w="54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C6" w:rsidRDefault="007E791F">
            <w:pPr>
              <w:widowControl w:val="0"/>
              <w:spacing w:line="240" w:lineRule="auto"/>
            </w:pPr>
            <w:r>
              <w:t>Evidence from observations:</w:t>
            </w:r>
          </w:p>
        </w:tc>
        <w:tc>
          <w:tcPr>
            <w:tcW w:w="54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C6" w:rsidRDefault="007E791F">
            <w:pPr>
              <w:widowControl w:val="0"/>
              <w:spacing w:line="240" w:lineRule="auto"/>
            </w:pPr>
            <w:r>
              <w:t>Reasoning/Justification:</w:t>
            </w:r>
          </w:p>
        </w:tc>
      </w:tr>
      <w:tr w:rsidR="007F1CC6">
        <w:trPr>
          <w:trHeight w:val="420"/>
        </w:trPr>
        <w:tc>
          <w:tcPr>
            <w:tcW w:w="54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C6" w:rsidRDefault="007F1CC6">
            <w:pPr>
              <w:widowControl w:val="0"/>
              <w:spacing w:line="240" w:lineRule="auto"/>
            </w:pPr>
          </w:p>
          <w:p w:rsidR="007F1CC6" w:rsidRDefault="007F1CC6">
            <w:pPr>
              <w:widowControl w:val="0"/>
              <w:spacing w:line="240" w:lineRule="auto"/>
            </w:pPr>
          </w:p>
          <w:p w:rsidR="007F1CC6" w:rsidRDefault="007F1CC6">
            <w:pPr>
              <w:widowControl w:val="0"/>
              <w:spacing w:line="240" w:lineRule="auto"/>
            </w:pPr>
          </w:p>
          <w:p w:rsidR="007F1CC6" w:rsidRDefault="007F1CC6">
            <w:pPr>
              <w:widowControl w:val="0"/>
              <w:spacing w:line="240" w:lineRule="auto"/>
            </w:pPr>
          </w:p>
          <w:p w:rsidR="007F1CC6" w:rsidRDefault="007F1CC6">
            <w:pPr>
              <w:widowControl w:val="0"/>
              <w:spacing w:line="240" w:lineRule="auto"/>
            </w:pPr>
          </w:p>
          <w:p w:rsidR="007F1CC6" w:rsidRDefault="007F1CC6">
            <w:pPr>
              <w:widowControl w:val="0"/>
              <w:spacing w:line="240" w:lineRule="auto"/>
            </w:pPr>
          </w:p>
          <w:p w:rsidR="007F1CC6" w:rsidRDefault="007F1CC6">
            <w:pPr>
              <w:widowControl w:val="0"/>
              <w:spacing w:line="240" w:lineRule="auto"/>
            </w:pPr>
          </w:p>
          <w:p w:rsidR="007F1CC6" w:rsidRDefault="007F1CC6">
            <w:pPr>
              <w:widowControl w:val="0"/>
              <w:spacing w:line="240" w:lineRule="auto"/>
            </w:pPr>
          </w:p>
          <w:p w:rsidR="007F1CC6" w:rsidRDefault="007F1CC6">
            <w:pPr>
              <w:widowControl w:val="0"/>
              <w:spacing w:line="240" w:lineRule="auto"/>
            </w:pPr>
          </w:p>
        </w:tc>
        <w:tc>
          <w:tcPr>
            <w:tcW w:w="54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C6" w:rsidRDefault="007F1CC6">
            <w:pPr>
              <w:widowControl w:val="0"/>
              <w:spacing w:line="240" w:lineRule="auto"/>
            </w:pPr>
          </w:p>
        </w:tc>
      </w:tr>
      <w:tr w:rsidR="007F1CC6">
        <w:trPr>
          <w:trHeight w:val="420"/>
        </w:trPr>
        <w:tc>
          <w:tcPr>
            <w:tcW w:w="5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C6" w:rsidRDefault="007F1CC6">
            <w:pPr>
              <w:widowControl w:val="0"/>
              <w:spacing w:line="240" w:lineRule="auto"/>
            </w:pPr>
          </w:p>
        </w:tc>
        <w:tc>
          <w:tcPr>
            <w:tcW w:w="5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C6" w:rsidRDefault="007F1CC6">
            <w:pPr>
              <w:widowControl w:val="0"/>
              <w:spacing w:line="240" w:lineRule="auto"/>
            </w:pPr>
          </w:p>
        </w:tc>
      </w:tr>
      <w:tr w:rsidR="007F1CC6">
        <w:trPr>
          <w:trHeight w:val="420"/>
        </w:trPr>
        <w:tc>
          <w:tcPr>
            <w:tcW w:w="5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C6" w:rsidRDefault="007F1CC6">
            <w:pPr>
              <w:widowControl w:val="0"/>
              <w:spacing w:line="240" w:lineRule="auto"/>
            </w:pPr>
          </w:p>
        </w:tc>
        <w:tc>
          <w:tcPr>
            <w:tcW w:w="5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C6" w:rsidRDefault="007F1CC6">
            <w:pPr>
              <w:widowControl w:val="0"/>
              <w:spacing w:line="240" w:lineRule="auto"/>
            </w:pPr>
          </w:p>
        </w:tc>
      </w:tr>
      <w:tr w:rsidR="007F1CC6">
        <w:trPr>
          <w:trHeight w:val="420"/>
        </w:trPr>
        <w:tc>
          <w:tcPr>
            <w:tcW w:w="108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C6" w:rsidRDefault="007E791F">
            <w:pPr>
              <w:widowControl w:val="0"/>
              <w:spacing w:line="240" w:lineRule="auto"/>
            </w:pPr>
            <w:r>
              <w:t>Claim (your claim should answer the question):</w:t>
            </w:r>
          </w:p>
        </w:tc>
      </w:tr>
      <w:tr w:rsidR="007F1CC6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C6" w:rsidRDefault="007F1CC6">
            <w:pPr>
              <w:widowControl w:val="0"/>
              <w:spacing w:line="240" w:lineRule="auto"/>
            </w:pPr>
          </w:p>
          <w:p w:rsidR="007F1CC6" w:rsidRDefault="007F1CC6">
            <w:pPr>
              <w:widowControl w:val="0"/>
              <w:spacing w:line="240" w:lineRule="auto"/>
            </w:pPr>
          </w:p>
        </w:tc>
      </w:tr>
      <w:tr w:rsidR="007F1CC6">
        <w:trPr>
          <w:trHeight w:val="420"/>
        </w:trPr>
        <w:tc>
          <w:tcPr>
            <w:tcW w:w="108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C6" w:rsidRDefault="007E791F">
            <w:pPr>
              <w:widowControl w:val="0"/>
              <w:spacing w:line="240" w:lineRule="auto"/>
            </w:pPr>
            <w:r>
              <w:t>Explanation: (Logical Explanation including Claim, Evidence, and Reasoning)</w:t>
            </w:r>
          </w:p>
        </w:tc>
      </w:tr>
      <w:tr w:rsidR="007F1CC6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C6" w:rsidRDefault="007F1CC6">
            <w:pPr>
              <w:widowControl w:val="0"/>
              <w:spacing w:line="240" w:lineRule="auto"/>
            </w:pPr>
          </w:p>
          <w:p w:rsidR="007F1CC6" w:rsidRDefault="007F1CC6">
            <w:pPr>
              <w:widowControl w:val="0"/>
              <w:spacing w:line="240" w:lineRule="auto"/>
            </w:pPr>
          </w:p>
        </w:tc>
      </w:tr>
      <w:tr w:rsidR="007F1CC6">
        <w:trPr>
          <w:trHeight w:val="420"/>
        </w:trPr>
        <w:tc>
          <w:tcPr>
            <w:tcW w:w="108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C6" w:rsidRDefault="007E791F">
            <w:pPr>
              <w:widowControl w:val="0"/>
              <w:spacing w:line="240" w:lineRule="auto"/>
            </w:pPr>
            <w:r>
              <w:t>Extension (How would you extend this claim in real life?)</w:t>
            </w:r>
          </w:p>
        </w:tc>
      </w:tr>
      <w:tr w:rsidR="007F1CC6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C6" w:rsidRDefault="007F1CC6">
            <w:pPr>
              <w:widowControl w:val="0"/>
              <w:spacing w:line="240" w:lineRule="auto"/>
            </w:pPr>
          </w:p>
          <w:p w:rsidR="007F1CC6" w:rsidRDefault="007F1CC6">
            <w:pPr>
              <w:widowControl w:val="0"/>
              <w:spacing w:line="240" w:lineRule="auto"/>
            </w:pPr>
          </w:p>
        </w:tc>
      </w:tr>
      <w:tr w:rsidR="007F1CC6">
        <w:trPr>
          <w:trHeight w:val="420"/>
        </w:trPr>
        <w:tc>
          <w:tcPr>
            <w:tcW w:w="1080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C6" w:rsidRDefault="007E791F">
            <w:pPr>
              <w:widowControl w:val="0"/>
              <w:spacing w:line="240" w:lineRule="auto"/>
            </w:pPr>
            <w:r>
              <w:t>What is your definition for phenomenon?</w:t>
            </w:r>
          </w:p>
        </w:tc>
      </w:tr>
      <w:tr w:rsidR="007F1CC6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C6" w:rsidRDefault="007E791F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63405" cy="319088"/>
                  <wp:effectExtent l="0" t="0" r="0" b="0"/>
                  <wp:docPr id="2" name="image4.png" descr="Screen Shot 2017-06-02 at 10.45.02 A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Screen Shot 2017-06-02 at 10.45.02 AM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405" cy="319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CC6" w:rsidRDefault="007F1CC6"/>
    <w:sectPr w:rsidR="007F1CC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271F2"/>
    <w:multiLevelType w:val="multilevel"/>
    <w:tmpl w:val="38162A6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C0769A"/>
    <w:multiLevelType w:val="multilevel"/>
    <w:tmpl w:val="96D61B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FA6D8C"/>
    <w:multiLevelType w:val="multilevel"/>
    <w:tmpl w:val="A1A6D80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14C5F5A"/>
    <w:multiLevelType w:val="multilevel"/>
    <w:tmpl w:val="992EE59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AD3941"/>
    <w:multiLevelType w:val="multilevel"/>
    <w:tmpl w:val="70D4FD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C6"/>
    <w:rsid w:val="007E791F"/>
    <w:rsid w:val="007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48E563-4DA4-4B48-AAAC-A3F932AA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docs.google.com/presentation/d/1k5oMi13t6r2zay0kYxm7HoAhMYPJYSLuBBaOSjHEfn0/ed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 Hansen</dc:creator>
  <cp:lastModifiedBy>Kira Hansen</cp:lastModifiedBy>
  <cp:revision>2</cp:revision>
  <dcterms:created xsi:type="dcterms:W3CDTF">2017-09-05T13:02:00Z</dcterms:created>
  <dcterms:modified xsi:type="dcterms:W3CDTF">2017-09-05T13:02:00Z</dcterms:modified>
</cp:coreProperties>
</file>